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2183" w14:textId="21E397D5" w:rsidR="00E46B73" w:rsidRDefault="007875C8" w:rsidP="00505AC0">
      <w:pPr>
        <w:jc w:val="center"/>
        <w:rPr>
          <w:rFonts w:ascii="Calibri" w:hAnsi="Calibri" w:cs="Calibri"/>
          <w:b/>
          <w:bCs/>
          <w:color w:val="2F5496" w:themeColor="accent1" w:themeShade="BF"/>
          <w:sz w:val="28"/>
          <w:szCs w:val="28"/>
          <w:lang w:val="en-US"/>
        </w:rPr>
      </w:pPr>
      <w:r w:rsidRPr="0055231B">
        <w:rPr>
          <w:rFonts w:ascii="Calibri" w:hAnsi="Calibri" w:cs="Calibri"/>
          <w:b/>
          <w:bCs/>
          <w:color w:val="2F5496" w:themeColor="accent1" w:themeShade="BF"/>
          <w:sz w:val="28"/>
          <w:szCs w:val="28"/>
        </w:rPr>
        <w:t>„</w:t>
      </w:r>
      <w:r w:rsidR="00E46B73" w:rsidRPr="0055231B">
        <w:rPr>
          <w:rFonts w:ascii="Calibri" w:hAnsi="Calibri" w:cs="Calibri"/>
          <w:b/>
          <w:bCs/>
          <w:color w:val="2F5496" w:themeColor="accent1" w:themeShade="BF"/>
          <w:sz w:val="28"/>
          <w:szCs w:val="28"/>
        </w:rPr>
        <w:t>PNRR</w:t>
      </w:r>
      <w:r w:rsidR="00E46B73" w:rsidRPr="0055231B">
        <w:rPr>
          <w:rFonts w:ascii="Calibri" w:hAnsi="Calibri" w:cs="Calibri"/>
          <w:b/>
          <w:bCs/>
          <w:color w:val="2F5496" w:themeColor="accent1" w:themeShade="BF"/>
          <w:sz w:val="28"/>
          <w:szCs w:val="28"/>
          <w:lang w:val="en-US"/>
        </w:rPr>
        <w:t xml:space="preserve">: Fonduri </w:t>
      </w:r>
      <w:r w:rsidRPr="0055231B">
        <w:rPr>
          <w:rFonts w:ascii="Calibri" w:hAnsi="Calibri" w:cs="Calibri"/>
          <w:b/>
          <w:bCs/>
          <w:color w:val="2F5496" w:themeColor="accent1" w:themeShade="BF"/>
          <w:sz w:val="28"/>
          <w:szCs w:val="28"/>
          <w:lang w:val="en-US"/>
        </w:rPr>
        <w:t>pentru România modernă și reformată!”</w:t>
      </w:r>
    </w:p>
    <w:p w14:paraId="1411573A" w14:textId="2FD4E19D" w:rsidR="00D931E2" w:rsidRDefault="00D931E2" w:rsidP="00505AC0">
      <w:pPr>
        <w:jc w:val="center"/>
        <w:rPr>
          <w:rFonts w:ascii="Calibri" w:hAnsi="Calibri" w:cs="Calibri"/>
          <w:b/>
          <w:bCs/>
          <w:color w:val="2F5496" w:themeColor="accent1" w:themeShade="BF"/>
          <w:sz w:val="28"/>
          <w:szCs w:val="28"/>
          <w:lang w:val="en-US"/>
        </w:rPr>
      </w:pPr>
      <w:r w:rsidRPr="00D931E2">
        <w:rPr>
          <w:rFonts w:ascii="Calibri" w:hAnsi="Calibri" w:cs="Calibri"/>
          <w:b/>
          <w:bCs/>
          <w:color w:val="2F5496" w:themeColor="accent1" w:themeShade="BF"/>
          <w:sz w:val="28"/>
          <w:szCs w:val="28"/>
          <w:lang w:val="en-US"/>
        </w:rPr>
        <w:t>„Dezvoltarea competențelor digitale de bază în cadrul bibliotecilor din județul Neamț”</w:t>
      </w:r>
    </w:p>
    <w:p w14:paraId="70E79A16" w14:textId="77777777" w:rsidR="00D931E2" w:rsidRPr="0055231B" w:rsidRDefault="00D931E2" w:rsidP="00505AC0">
      <w:pPr>
        <w:jc w:val="center"/>
        <w:rPr>
          <w:rFonts w:ascii="Calibri" w:hAnsi="Calibri" w:cs="Calibri"/>
          <w:b/>
          <w:bCs/>
          <w:color w:val="2F5496" w:themeColor="accent1" w:themeShade="BF"/>
          <w:sz w:val="28"/>
          <w:szCs w:val="28"/>
          <w:lang w:val="en-US"/>
        </w:rPr>
      </w:pPr>
    </w:p>
    <w:p w14:paraId="1B84C4E1" w14:textId="14287333" w:rsidR="007829D2" w:rsidRPr="003733E1" w:rsidRDefault="00E9656C" w:rsidP="00455392">
      <w:pPr>
        <w:spacing w:line="240" w:lineRule="auto"/>
        <w:ind w:firstLine="720"/>
        <w:jc w:val="both"/>
        <w:rPr>
          <w:rFonts w:ascii="Calibri" w:hAnsi="Calibri" w:cs="Calibri"/>
        </w:rPr>
      </w:pPr>
      <w:r>
        <w:rPr>
          <w:rFonts w:ascii="Calibri" w:hAnsi="Calibri" w:cs="Calibri"/>
        </w:rPr>
        <w:t xml:space="preserve">U.A.T.  </w:t>
      </w:r>
      <w:r w:rsidR="00044CD9">
        <w:rPr>
          <w:rFonts w:ascii="Calibri" w:hAnsi="Calibri" w:cs="Calibri"/>
        </w:rPr>
        <w:t xml:space="preserve"> </w:t>
      </w:r>
      <w:r w:rsidR="00D43CF6">
        <w:rPr>
          <w:rFonts w:ascii="Calibri" w:hAnsi="Calibri" w:cs="Calibri"/>
        </w:rPr>
        <w:t>BOZIENI</w:t>
      </w:r>
      <w:r w:rsidR="00044CD9">
        <w:rPr>
          <w:rFonts w:ascii="Calibri" w:hAnsi="Calibri" w:cs="Calibri"/>
        </w:rPr>
        <w:t>,</w:t>
      </w:r>
      <w:r>
        <w:rPr>
          <w:rFonts w:ascii="Calibri" w:hAnsi="Calibri" w:cs="Calibri"/>
        </w:rPr>
        <w:t xml:space="preserve"> în</w:t>
      </w:r>
      <w:r w:rsidR="00044CD9">
        <w:rPr>
          <w:rFonts w:ascii="Calibri" w:hAnsi="Calibri" w:cs="Calibri"/>
        </w:rPr>
        <w:t xml:space="preserve"> calitate de partener al </w:t>
      </w:r>
      <w:r>
        <w:rPr>
          <w:rFonts w:ascii="Calibri" w:hAnsi="Calibri" w:cs="Calibri"/>
        </w:rPr>
        <w:t xml:space="preserve"> </w:t>
      </w:r>
      <w:r w:rsidR="00AA1504" w:rsidRPr="003733E1">
        <w:rPr>
          <w:rFonts w:ascii="Calibri" w:hAnsi="Calibri" w:cs="Calibri"/>
        </w:rPr>
        <w:t>U.A.T. Județul Neamț</w:t>
      </w:r>
      <w:r w:rsidR="0055231B">
        <w:rPr>
          <w:rFonts w:ascii="Calibri" w:hAnsi="Calibri" w:cs="Calibri"/>
        </w:rPr>
        <w:t>,</w:t>
      </w:r>
      <w:r w:rsidR="0055231B" w:rsidRPr="0055231B">
        <w:t xml:space="preserve"> </w:t>
      </w:r>
      <w:r w:rsidR="00D019BC" w:rsidRPr="003733E1">
        <w:rPr>
          <w:rFonts w:ascii="Calibri" w:hAnsi="Calibri" w:cs="Calibri"/>
        </w:rPr>
        <w:t>implementează</w:t>
      </w:r>
      <w:r w:rsidR="0055231B" w:rsidRPr="0055231B">
        <w:t xml:space="preserve"> </w:t>
      </w:r>
      <w:r w:rsidR="0055231B" w:rsidRPr="0055231B">
        <w:rPr>
          <w:rFonts w:ascii="Calibri" w:hAnsi="Calibri" w:cs="Calibri"/>
        </w:rPr>
        <w:t xml:space="preserve">începând cu data de </w:t>
      </w:r>
      <w:r w:rsidR="008106FC">
        <w:rPr>
          <w:rFonts w:ascii="Calibri" w:hAnsi="Calibri" w:cs="Calibri"/>
        </w:rPr>
        <w:t>09</w:t>
      </w:r>
      <w:r w:rsidR="00163E4B">
        <w:rPr>
          <w:rFonts w:ascii="Calibri" w:hAnsi="Calibri" w:cs="Calibri"/>
        </w:rPr>
        <w:t>.05.2024</w:t>
      </w:r>
      <w:r w:rsidR="0055231B" w:rsidRPr="0055231B">
        <w:rPr>
          <w:rFonts w:ascii="Calibri" w:hAnsi="Calibri" w:cs="Calibri"/>
        </w:rPr>
        <w:t xml:space="preserve"> </w:t>
      </w:r>
      <w:r w:rsidR="00D019BC" w:rsidRPr="003733E1">
        <w:rPr>
          <w:rFonts w:ascii="Calibri" w:hAnsi="Calibri" w:cs="Calibri"/>
        </w:rPr>
        <w:t>proiectul</w:t>
      </w:r>
      <w:r w:rsidR="00B60195" w:rsidRPr="003733E1">
        <w:rPr>
          <w:rFonts w:ascii="Calibri" w:hAnsi="Calibri" w:cs="Calibri"/>
        </w:rPr>
        <w:t xml:space="preserve"> „</w:t>
      </w:r>
      <w:r w:rsidR="00EB4B3A" w:rsidRPr="00EB4B3A">
        <w:rPr>
          <w:rFonts w:ascii="Calibri" w:hAnsi="Calibri" w:cs="Calibri"/>
          <w:b/>
          <w:bCs/>
        </w:rPr>
        <w:t>Dezvoltarea competențelor digitale de bază în cadrul bibliotecilor din județul Neamț</w:t>
      </w:r>
      <w:r w:rsidR="00B60195" w:rsidRPr="003733E1">
        <w:rPr>
          <w:rFonts w:ascii="Calibri" w:hAnsi="Calibri" w:cs="Calibri"/>
        </w:rPr>
        <w:t>”</w:t>
      </w:r>
      <w:r w:rsidR="00EB4B3A">
        <w:rPr>
          <w:rFonts w:ascii="Calibri" w:hAnsi="Calibri" w:cs="Calibri"/>
        </w:rPr>
        <w:t>.</w:t>
      </w:r>
    </w:p>
    <w:p w14:paraId="1B6EDEF8" w14:textId="4646A36C" w:rsidR="00D019BC" w:rsidRPr="003733E1" w:rsidRDefault="007829D2" w:rsidP="00455392">
      <w:pPr>
        <w:spacing w:line="240" w:lineRule="auto"/>
        <w:ind w:firstLine="720"/>
        <w:jc w:val="both"/>
        <w:rPr>
          <w:rFonts w:ascii="Calibri" w:hAnsi="Calibri" w:cs="Calibri"/>
        </w:rPr>
      </w:pPr>
      <w:r w:rsidRPr="003733E1">
        <w:rPr>
          <w:rFonts w:ascii="Calibri" w:hAnsi="Calibri" w:cs="Calibri"/>
        </w:rPr>
        <w:t xml:space="preserve">Proiectul </w:t>
      </w:r>
      <w:r w:rsidR="00D931E2">
        <w:rPr>
          <w:rFonts w:ascii="Calibri" w:hAnsi="Calibri" w:cs="Calibri"/>
        </w:rPr>
        <w:t>este</w:t>
      </w:r>
      <w:r w:rsidR="00F16D89">
        <w:rPr>
          <w:rFonts w:ascii="Calibri" w:hAnsi="Calibri" w:cs="Calibri"/>
        </w:rPr>
        <w:t xml:space="preserve"> finanța</w:t>
      </w:r>
      <w:r w:rsidR="00D931E2">
        <w:rPr>
          <w:rFonts w:ascii="Calibri" w:hAnsi="Calibri" w:cs="Calibri"/>
        </w:rPr>
        <w:t>t</w:t>
      </w:r>
      <w:r w:rsidR="00A657FD" w:rsidRPr="003733E1">
        <w:rPr>
          <w:rFonts w:ascii="Calibri" w:hAnsi="Calibri" w:cs="Calibri"/>
        </w:rPr>
        <w:t xml:space="preserve"> </w:t>
      </w:r>
      <w:r w:rsidR="00F16D89">
        <w:rPr>
          <w:rFonts w:ascii="Calibri" w:hAnsi="Calibri" w:cs="Calibri"/>
        </w:rPr>
        <w:t>prin</w:t>
      </w:r>
      <w:r w:rsidR="00A657FD" w:rsidRPr="003733E1">
        <w:rPr>
          <w:rFonts w:ascii="Calibri" w:hAnsi="Calibri" w:cs="Calibri"/>
        </w:rPr>
        <w:t xml:space="preserve"> </w:t>
      </w:r>
      <w:r w:rsidR="00A44A10" w:rsidRPr="003733E1">
        <w:rPr>
          <w:rFonts w:ascii="Calibri" w:hAnsi="Calibri" w:cs="Calibri"/>
        </w:rPr>
        <w:t xml:space="preserve">Planul Național de Redresare și Reziliență, </w:t>
      </w:r>
      <w:r w:rsidR="001200DC" w:rsidRPr="003733E1">
        <w:rPr>
          <w:rFonts w:ascii="Calibri" w:hAnsi="Calibri" w:cs="Calibri"/>
        </w:rPr>
        <w:t>A</w:t>
      </w:r>
      <w:r w:rsidRPr="003733E1">
        <w:rPr>
          <w:rFonts w:ascii="Calibri" w:hAnsi="Calibri" w:cs="Calibri"/>
        </w:rPr>
        <w:t xml:space="preserve">pelul de proiecte </w:t>
      </w:r>
      <w:r w:rsidR="00176F92">
        <w:rPr>
          <w:rFonts w:ascii="Calibri" w:hAnsi="Calibri" w:cs="Calibri"/>
        </w:rPr>
        <w:t>Finanțarea bib</w:t>
      </w:r>
      <w:r w:rsidR="00D5419C">
        <w:rPr>
          <w:rFonts w:ascii="Calibri" w:hAnsi="Calibri" w:cs="Calibri"/>
        </w:rPr>
        <w:t>l</w:t>
      </w:r>
      <w:r w:rsidR="00176F92">
        <w:rPr>
          <w:rFonts w:ascii="Calibri" w:hAnsi="Calibri" w:cs="Calibri"/>
        </w:rPr>
        <w:t>iotecilor pentru a deveni hub-uri de dezvoltare a competențelor digitale</w:t>
      </w:r>
      <w:r w:rsidRPr="003733E1">
        <w:rPr>
          <w:rFonts w:ascii="Calibri" w:hAnsi="Calibri" w:cs="Calibri"/>
        </w:rPr>
        <w:t xml:space="preserve">, </w:t>
      </w:r>
      <w:r w:rsidR="00A44A10" w:rsidRPr="003733E1">
        <w:rPr>
          <w:rFonts w:ascii="Calibri" w:hAnsi="Calibri" w:cs="Calibri"/>
        </w:rPr>
        <w:t xml:space="preserve">Componenta </w:t>
      </w:r>
      <w:r w:rsidR="00A02AAA">
        <w:rPr>
          <w:rFonts w:ascii="Calibri" w:hAnsi="Calibri" w:cs="Calibri"/>
        </w:rPr>
        <w:t>C</w:t>
      </w:r>
      <w:r w:rsidR="00176F92">
        <w:rPr>
          <w:rFonts w:ascii="Calibri" w:hAnsi="Calibri" w:cs="Calibri"/>
        </w:rPr>
        <w:t>7</w:t>
      </w:r>
      <w:r w:rsidR="00A44A10" w:rsidRPr="003733E1">
        <w:rPr>
          <w:rFonts w:ascii="Calibri" w:hAnsi="Calibri" w:cs="Calibri"/>
        </w:rPr>
        <w:t>-</w:t>
      </w:r>
      <w:r w:rsidR="00176F92">
        <w:rPr>
          <w:rFonts w:ascii="Calibri" w:hAnsi="Calibri" w:cs="Calibri"/>
        </w:rPr>
        <w:t>Transformare digitală</w:t>
      </w:r>
      <w:r w:rsidR="00AC1848" w:rsidRPr="003733E1">
        <w:rPr>
          <w:rFonts w:ascii="Calibri" w:hAnsi="Calibri" w:cs="Calibri"/>
        </w:rPr>
        <w:t xml:space="preserve">, </w:t>
      </w:r>
      <w:r w:rsidR="00FA77AC" w:rsidRPr="003733E1">
        <w:rPr>
          <w:rFonts w:ascii="Calibri" w:hAnsi="Calibri" w:cs="Calibri"/>
        </w:rPr>
        <w:t xml:space="preserve">Investiția </w:t>
      </w:r>
      <w:r w:rsidR="00176F92">
        <w:rPr>
          <w:rFonts w:ascii="Calibri" w:hAnsi="Calibri" w:cs="Calibri"/>
        </w:rPr>
        <w:t>I17</w:t>
      </w:r>
      <w:r w:rsidR="00A02B7C">
        <w:rPr>
          <w:rFonts w:ascii="Calibri" w:hAnsi="Calibri" w:cs="Calibri"/>
        </w:rPr>
        <w:t>.</w:t>
      </w:r>
      <w:r w:rsidR="00176F92">
        <w:rPr>
          <w:rFonts w:ascii="Calibri" w:hAnsi="Calibri" w:cs="Calibri"/>
        </w:rPr>
        <w:t xml:space="preserve"> Scheme de finanțare pentru biblioteci pentru a deveni hub-uri de dezvoltare a competențelor digitale</w:t>
      </w:r>
      <w:r w:rsidR="00A02AAA">
        <w:rPr>
          <w:rFonts w:ascii="Calibri" w:hAnsi="Calibri" w:cs="Calibri"/>
        </w:rPr>
        <w:t>.</w:t>
      </w:r>
    </w:p>
    <w:p w14:paraId="0B0BDBB7" w14:textId="0DF53641" w:rsidR="008F5D78" w:rsidRDefault="00801709" w:rsidP="00ED32E9">
      <w:pPr>
        <w:spacing w:line="240" w:lineRule="auto"/>
        <w:ind w:firstLine="720"/>
        <w:jc w:val="both"/>
        <w:rPr>
          <w:rFonts w:ascii="Calibri" w:hAnsi="Calibri" w:cs="Calibri"/>
          <w:lang w:val="en-US"/>
        </w:rPr>
      </w:pPr>
      <w:r w:rsidRPr="003733E1">
        <w:rPr>
          <w:rFonts w:ascii="Calibri" w:hAnsi="Calibri" w:cs="Calibri"/>
          <w:b/>
          <w:bCs/>
          <w:lang w:val="en-US"/>
        </w:rPr>
        <w:t>Obiectivul general al proiectului</w:t>
      </w:r>
      <w:r w:rsidRPr="003733E1">
        <w:rPr>
          <w:rFonts w:ascii="Calibri" w:hAnsi="Calibri" w:cs="Calibri"/>
          <w:lang w:val="en-US"/>
        </w:rPr>
        <w:t xml:space="preserve"> </w:t>
      </w:r>
      <w:r w:rsidR="00353D59">
        <w:rPr>
          <w:rFonts w:ascii="Calibri" w:hAnsi="Calibri" w:cs="Calibri"/>
          <w:lang w:val="en-US"/>
        </w:rPr>
        <w:t>îl constituie îmbunătățirea competențelor digitale de bază ale comunităților cu acces limitat la formare digital</w:t>
      </w:r>
      <w:r w:rsidR="008106FC">
        <w:rPr>
          <w:rFonts w:ascii="Calibri" w:hAnsi="Calibri" w:cs="Calibri"/>
          <w:lang w:val="en-US"/>
        </w:rPr>
        <w:t>ă</w:t>
      </w:r>
      <w:r w:rsidR="00353D59">
        <w:rPr>
          <w:rFonts w:ascii="Calibri" w:hAnsi="Calibri" w:cs="Calibri"/>
          <w:lang w:val="en-US"/>
        </w:rPr>
        <w:t xml:space="preserve"> și ale grupurilor marginalizate din jude</w:t>
      </w:r>
      <w:r w:rsidR="008106FC">
        <w:rPr>
          <w:rFonts w:ascii="Calibri" w:hAnsi="Calibri" w:cs="Calibri"/>
          <w:lang w:val="en-US"/>
        </w:rPr>
        <w:t>ț</w:t>
      </w:r>
      <w:r w:rsidR="00353D59">
        <w:rPr>
          <w:rFonts w:ascii="Calibri" w:hAnsi="Calibri" w:cs="Calibri"/>
          <w:lang w:val="en-US"/>
        </w:rPr>
        <w:t>ul Neamț, prin dezvoltarea unei infrastructur</w:t>
      </w:r>
      <w:r w:rsidR="008106FC">
        <w:rPr>
          <w:rFonts w:ascii="Calibri" w:hAnsi="Calibri" w:cs="Calibri"/>
          <w:lang w:val="en-US"/>
        </w:rPr>
        <w:t>i</w:t>
      </w:r>
      <w:r w:rsidR="00353D59">
        <w:rPr>
          <w:rFonts w:ascii="Calibri" w:hAnsi="Calibri" w:cs="Calibri"/>
          <w:lang w:val="en-US"/>
        </w:rPr>
        <w:t xml:space="preserve"> tehnice cu acces limitat la nivelul județului Neamț și organizarea de sesiuni de formare profesională pentru populația defavorizată.</w:t>
      </w:r>
    </w:p>
    <w:p w14:paraId="3B32EE3B" w14:textId="40AE876E" w:rsidR="008D7F36" w:rsidRPr="008D7F36" w:rsidRDefault="008D7F36" w:rsidP="008D7F36">
      <w:pPr>
        <w:spacing w:line="240" w:lineRule="auto"/>
        <w:ind w:firstLine="720"/>
        <w:jc w:val="both"/>
        <w:rPr>
          <w:rFonts w:ascii="Calibri" w:hAnsi="Calibri" w:cs="Calibri"/>
          <w:b/>
          <w:bCs/>
          <w:lang w:val="en-US"/>
        </w:rPr>
      </w:pPr>
      <w:r w:rsidRPr="008D7F36">
        <w:rPr>
          <w:rFonts w:ascii="Calibri" w:hAnsi="Calibri" w:cs="Calibri"/>
          <w:b/>
          <w:bCs/>
          <w:lang w:val="en-US"/>
        </w:rPr>
        <w:t>Obiectivele specifice ale proiectului</w:t>
      </w:r>
    </w:p>
    <w:p w14:paraId="72353607" w14:textId="7423FFDD" w:rsidR="008D7F36" w:rsidRPr="008D7F36" w:rsidRDefault="008D7F36" w:rsidP="008D7F36">
      <w:pPr>
        <w:spacing w:line="240" w:lineRule="auto"/>
        <w:ind w:firstLine="720"/>
        <w:jc w:val="both"/>
        <w:rPr>
          <w:rFonts w:ascii="Calibri" w:hAnsi="Calibri" w:cs="Calibri"/>
        </w:rPr>
      </w:pPr>
      <w:r w:rsidRPr="008D7F36">
        <w:rPr>
          <w:rFonts w:ascii="Calibri" w:hAnsi="Calibri" w:cs="Calibri"/>
          <w:lang w:val="en-US"/>
        </w:rPr>
        <w:t>1.</w:t>
      </w:r>
      <w:r w:rsidRPr="008D7F36">
        <w:rPr>
          <w:rFonts w:ascii="Calibri" w:hAnsi="Calibri" w:cs="Calibri"/>
          <w:lang w:val="en-US"/>
        </w:rPr>
        <w:tab/>
        <w:t>Transformarea în huburi de dezvoltare a competențelor digitale a 3 biblioteci</w:t>
      </w:r>
      <w:r>
        <w:rPr>
          <w:rFonts w:ascii="Calibri" w:hAnsi="Calibri" w:cs="Calibri"/>
          <w:lang w:val="en-US"/>
        </w:rPr>
        <w:t>, respectiv</w:t>
      </w:r>
      <w:r>
        <w:rPr>
          <w:rFonts w:ascii="Calibri" w:hAnsi="Calibri" w:cs="Calibri"/>
        </w:rPr>
        <w:t>:</w:t>
      </w:r>
    </w:p>
    <w:p w14:paraId="7E6692D7" w14:textId="55AA234D" w:rsidR="008D7F36" w:rsidRPr="00AF654E" w:rsidRDefault="008D7F36" w:rsidP="00AF654E">
      <w:pPr>
        <w:pStyle w:val="Listparagraf"/>
        <w:numPr>
          <w:ilvl w:val="0"/>
          <w:numId w:val="1"/>
        </w:numPr>
        <w:spacing w:line="240" w:lineRule="auto"/>
        <w:jc w:val="both"/>
        <w:rPr>
          <w:rFonts w:ascii="Calibri" w:hAnsi="Calibri" w:cs="Calibri"/>
          <w:lang w:val="en-US"/>
        </w:rPr>
      </w:pPr>
      <w:r w:rsidRPr="00AF654E">
        <w:rPr>
          <w:rFonts w:ascii="Calibri" w:hAnsi="Calibri" w:cs="Calibri"/>
          <w:lang w:val="en-US"/>
        </w:rPr>
        <w:t>Biblioteca de la nivelul UAT Comuna Brusturi</w:t>
      </w:r>
    </w:p>
    <w:p w14:paraId="401C3C50" w14:textId="0CC79381" w:rsidR="008D7F36" w:rsidRPr="00AF654E" w:rsidRDefault="008D7F36" w:rsidP="00AF654E">
      <w:pPr>
        <w:pStyle w:val="Listparagraf"/>
        <w:numPr>
          <w:ilvl w:val="0"/>
          <w:numId w:val="1"/>
        </w:numPr>
        <w:spacing w:line="240" w:lineRule="auto"/>
        <w:jc w:val="both"/>
        <w:rPr>
          <w:rFonts w:ascii="Calibri" w:hAnsi="Calibri" w:cs="Calibri"/>
          <w:lang w:val="en-US"/>
        </w:rPr>
      </w:pPr>
      <w:r w:rsidRPr="00AF654E">
        <w:rPr>
          <w:rFonts w:ascii="Calibri" w:hAnsi="Calibri" w:cs="Calibri"/>
          <w:lang w:val="en-US"/>
        </w:rPr>
        <w:t>Biblioteca de la nivelul UAT Oraș Târgu Neamț</w:t>
      </w:r>
    </w:p>
    <w:p w14:paraId="1642ACCC" w14:textId="4739CAD8" w:rsidR="008D7F36" w:rsidRPr="00AF654E" w:rsidRDefault="008D7F36" w:rsidP="00AF654E">
      <w:pPr>
        <w:pStyle w:val="Listparagraf"/>
        <w:numPr>
          <w:ilvl w:val="0"/>
          <w:numId w:val="1"/>
        </w:numPr>
        <w:spacing w:line="240" w:lineRule="auto"/>
        <w:jc w:val="both"/>
        <w:rPr>
          <w:rFonts w:ascii="Calibri" w:hAnsi="Calibri" w:cs="Calibri"/>
          <w:lang w:val="en-US"/>
        </w:rPr>
      </w:pPr>
      <w:r w:rsidRPr="00AF654E">
        <w:rPr>
          <w:rFonts w:ascii="Calibri" w:hAnsi="Calibri" w:cs="Calibri"/>
          <w:lang w:val="en-US"/>
        </w:rPr>
        <w:t>Biblioteca Județeană ,,G.T. Kirileanu” Neamț, Filiala ”Vasile Conta” Mărăței</w:t>
      </w:r>
    </w:p>
    <w:p w14:paraId="6C1298CF" w14:textId="77777777" w:rsidR="008D7F36" w:rsidRPr="008D7F36" w:rsidRDefault="008D7F36" w:rsidP="008D7F36">
      <w:pPr>
        <w:spacing w:line="240" w:lineRule="auto"/>
        <w:ind w:firstLine="720"/>
        <w:jc w:val="both"/>
        <w:rPr>
          <w:rFonts w:ascii="Calibri" w:hAnsi="Calibri" w:cs="Calibri"/>
          <w:lang w:val="en-US"/>
        </w:rPr>
      </w:pPr>
      <w:r w:rsidRPr="008D7F36">
        <w:rPr>
          <w:rFonts w:ascii="Calibri" w:hAnsi="Calibri" w:cs="Calibri"/>
          <w:lang w:val="en-US"/>
        </w:rPr>
        <w:t>2.</w:t>
      </w:r>
      <w:r w:rsidRPr="008D7F36">
        <w:rPr>
          <w:rFonts w:ascii="Calibri" w:hAnsi="Calibri" w:cs="Calibri"/>
          <w:lang w:val="en-US"/>
        </w:rPr>
        <w:tab/>
        <w:t>Schimbarea/modernizarea echipamentelor informatice în 29 de biblioteci care, alături de cele 3 huburi de dezvoltare a competențelor digitale, constituie infrastructura tehnică cu acces public la nivelul județului Neamț, pentru îmbunătățirea competențelor digitale de bază ale comunităților defavorizate.</w:t>
      </w:r>
    </w:p>
    <w:p w14:paraId="207D3CE1" w14:textId="0F27893A" w:rsidR="008D7F36" w:rsidRPr="008D7F36" w:rsidRDefault="008D7F36" w:rsidP="008D7F36">
      <w:pPr>
        <w:spacing w:line="240" w:lineRule="auto"/>
        <w:ind w:firstLine="720"/>
        <w:jc w:val="both"/>
        <w:rPr>
          <w:rFonts w:ascii="Calibri" w:hAnsi="Calibri" w:cs="Calibri"/>
          <w:lang w:val="en-US"/>
        </w:rPr>
      </w:pPr>
      <w:r w:rsidRPr="008D7F36">
        <w:rPr>
          <w:rFonts w:ascii="Calibri" w:hAnsi="Calibri" w:cs="Calibri"/>
          <w:lang w:val="en-US"/>
        </w:rPr>
        <w:t xml:space="preserve">Cele </w:t>
      </w:r>
      <w:r w:rsidRPr="0029068A">
        <w:rPr>
          <w:rFonts w:ascii="Calibri" w:hAnsi="Calibri" w:cs="Calibri"/>
          <w:b/>
          <w:bCs/>
          <w:lang w:val="en-US"/>
        </w:rPr>
        <w:t>29 de biblioteci</w:t>
      </w:r>
      <w:r w:rsidRPr="008D7F36">
        <w:rPr>
          <w:rFonts w:ascii="Calibri" w:hAnsi="Calibri" w:cs="Calibri"/>
          <w:lang w:val="en-US"/>
        </w:rPr>
        <w:t xml:space="preserve"> care vor fi dotate cu echipamente informatice sunt cele de la nivelul unităților administrative partenere în proiect respectiv: U.A.T Comuna Bahna, U.A.T. Comuna Bîra, U.A.T.  Comuna Borca, U.A.T.  Comuna Bozieni, U.A.T. Comuna Crăcăoani, U.A.T Comuna Făurei, U.A.T. Comuna Mărgineni, U.A.T. Comuna Oniceni, U.A.T. Comuna Păstrăveni, U.A.T. Comuna Pipirig, U.A.T. Comuna Poienari, U.A.T. Comuna Răucești, U.A.T. Comuna Girov, U.A.T. Comuna Urecheni, U.A.T. Comuna Dochia, U.A.T. Comuna Văleni, U.A.T. Comuna Boghicea, Municipiul Roman, U.A.T. Oraș Bicaz, U.A.T. Comuna Grințieș, U.A.T. Comuna Trifești, U.A.T. Comuna Ion Creangă, U.A.T. Comuna Cordun, U.A.T. Comuna Gherăiești, U.A.T. Comuna Negrești, U.A.T. Comuna Valea Ursului, U.A.T. Comuna Tămășeni, U.A.T. Comuna Vânători-Neamț, U.A.T. Comuna Hangu.</w:t>
      </w:r>
    </w:p>
    <w:p w14:paraId="47CFB9C6" w14:textId="1D6AE883" w:rsidR="008D7F36" w:rsidRDefault="008D7F36" w:rsidP="008D7F36">
      <w:pPr>
        <w:spacing w:line="240" w:lineRule="auto"/>
        <w:ind w:firstLine="720"/>
        <w:jc w:val="both"/>
        <w:rPr>
          <w:rFonts w:ascii="Calibri" w:hAnsi="Calibri" w:cs="Calibri"/>
          <w:lang w:val="en-US"/>
        </w:rPr>
      </w:pPr>
      <w:r w:rsidRPr="008D7F36">
        <w:rPr>
          <w:rFonts w:ascii="Calibri" w:hAnsi="Calibri" w:cs="Calibri"/>
          <w:lang w:val="en-US"/>
        </w:rPr>
        <w:t>3.</w:t>
      </w:r>
      <w:r w:rsidRPr="008D7F36">
        <w:rPr>
          <w:rFonts w:ascii="Calibri" w:hAnsi="Calibri" w:cs="Calibri"/>
          <w:lang w:val="en-US"/>
        </w:rPr>
        <w:tab/>
        <w:t xml:space="preserve">Organizarea de programe de formare profesională prin intermediul infrastructurii create, în vederea dezvoltării competențelor de bază, cum ar fi alfabetizarea digitală, comunicarea, educația în domeniul </w:t>
      </w:r>
      <w:r w:rsidRPr="008D7F36">
        <w:rPr>
          <w:rFonts w:ascii="Calibri" w:hAnsi="Calibri" w:cs="Calibri"/>
          <w:lang w:val="en-US"/>
        </w:rPr>
        <w:lastRenderedPageBreak/>
        <w:t>mass-mediei, crearea de conținut digital, securitatea digitală și educația antreprenorială digitală, ale unui număr de 2500 de cetățeni din comunități defavorizate din județul Neamț.</w:t>
      </w:r>
    </w:p>
    <w:p w14:paraId="30B8E265" w14:textId="1EF831B1" w:rsidR="00745F08" w:rsidRPr="003733E1" w:rsidRDefault="00745F08" w:rsidP="00AC6505">
      <w:pPr>
        <w:spacing w:line="240" w:lineRule="auto"/>
        <w:ind w:firstLine="720"/>
        <w:jc w:val="both"/>
        <w:rPr>
          <w:rFonts w:ascii="Calibri" w:hAnsi="Calibri" w:cs="Calibri"/>
          <w:lang w:val="en-US"/>
        </w:rPr>
      </w:pPr>
      <w:r>
        <w:rPr>
          <w:rFonts w:ascii="Calibri" w:hAnsi="Calibri" w:cs="Calibri"/>
          <w:lang w:val="en-US"/>
        </w:rPr>
        <w:t>Activitățile</w:t>
      </w:r>
      <w:r w:rsidRPr="00745F08">
        <w:rPr>
          <w:rFonts w:ascii="Calibri" w:hAnsi="Calibri" w:cs="Calibri"/>
          <w:lang w:val="en-US"/>
        </w:rPr>
        <w:t xml:space="preserve"> propus</w:t>
      </w:r>
      <w:r>
        <w:rPr>
          <w:rFonts w:ascii="Calibri" w:hAnsi="Calibri" w:cs="Calibri"/>
          <w:lang w:val="en-US"/>
        </w:rPr>
        <w:t>e</w:t>
      </w:r>
      <w:r w:rsidRPr="00745F08">
        <w:rPr>
          <w:rFonts w:ascii="Calibri" w:hAnsi="Calibri" w:cs="Calibri"/>
          <w:lang w:val="en-US"/>
        </w:rPr>
        <w:t xml:space="preserve"> prin proiect, respectiv de modernizare a spațiilor d</w:t>
      </w:r>
      <w:r>
        <w:rPr>
          <w:rFonts w:ascii="Calibri" w:hAnsi="Calibri" w:cs="Calibri"/>
          <w:lang w:val="en-US"/>
        </w:rPr>
        <w:t>estinate</w:t>
      </w:r>
      <w:r w:rsidRPr="00745F08">
        <w:rPr>
          <w:rFonts w:ascii="Calibri" w:hAnsi="Calibri" w:cs="Calibri"/>
          <w:lang w:val="en-US"/>
        </w:rPr>
        <w:t xml:space="preserve"> biblioteci</w:t>
      </w:r>
      <w:r>
        <w:rPr>
          <w:rFonts w:ascii="Calibri" w:hAnsi="Calibri" w:cs="Calibri"/>
          <w:lang w:val="en-US"/>
        </w:rPr>
        <w:t xml:space="preserve">lor </w:t>
      </w:r>
      <w:r w:rsidRPr="00745F08">
        <w:rPr>
          <w:rFonts w:ascii="Calibri" w:hAnsi="Calibri" w:cs="Calibri"/>
          <w:lang w:val="en-US"/>
        </w:rPr>
        <w:t>din județul Neamț, achiziționarea de calculatoare/tablete și echipamente de instruire, instruirea</w:t>
      </w:r>
      <w:r>
        <w:rPr>
          <w:rFonts w:ascii="Calibri" w:hAnsi="Calibri" w:cs="Calibri"/>
          <w:lang w:val="en-US"/>
        </w:rPr>
        <w:t xml:space="preserve"> </w:t>
      </w:r>
      <w:r w:rsidRPr="00745F08">
        <w:rPr>
          <w:rFonts w:ascii="Calibri" w:hAnsi="Calibri" w:cs="Calibri"/>
          <w:lang w:val="en-US"/>
        </w:rPr>
        <w:t>membrilor comunităților, v</w:t>
      </w:r>
      <w:r>
        <w:rPr>
          <w:rFonts w:ascii="Calibri" w:hAnsi="Calibri" w:cs="Calibri"/>
          <w:lang w:val="en-US"/>
        </w:rPr>
        <w:t>or</w:t>
      </w:r>
      <w:r w:rsidRPr="00745F08">
        <w:rPr>
          <w:rFonts w:ascii="Calibri" w:hAnsi="Calibri" w:cs="Calibri"/>
          <w:lang w:val="en-US"/>
        </w:rPr>
        <w:t xml:space="preserve"> conduce la îndeplinirea obiectivelor asumate de România prin</w:t>
      </w:r>
      <w:r>
        <w:rPr>
          <w:rFonts w:ascii="Calibri" w:hAnsi="Calibri" w:cs="Calibri"/>
          <w:lang w:val="en-US"/>
        </w:rPr>
        <w:t xml:space="preserve"> </w:t>
      </w:r>
      <w:r w:rsidRPr="00745F08">
        <w:rPr>
          <w:rFonts w:ascii="Calibri" w:hAnsi="Calibri" w:cs="Calibri"/>
          <w:lang w:val="en-US"/>
        </w:rPr>
        <w:t>Planul Național de Redre</w:t>
      </w:r>
      <w:r w:rsidR="00D931E2">
        <w:rPr>
          <w:rFonts w:ascii="Calibri" w:hAnsi="Calibri" w:cs="Calibri"/>
          <w:lang w:val="en-US"/>
        </w:rPr>
        <w:t>s</w:t>
      </w:r>
      <w:r w:rsidRPr="00745F08">
        <w:rPr>
          <w:rFonts w:ascii="Calibri" w:hAnsi="Calibri" w:cs="Calibri"/>
          <w:lang w:val="en-US"/>
        </w:rPr>
        <w:t>are și Reziliență și v</w:t>
      </w:r>
      <w:r>
        <w:rPr>
          <w:rFonts w:ascii="Calibri" w:hAnsi="Calibri" w:cs="Calibri"/>
          <w:lang w:val="en-US"/>
        </w:rPr>
        <w:t>or</w:t>
      </w:r>
      <w:r w:rsidRPr="00745F08">
        <w:rPr>
          <w:rFonts w:ascii="Calibri" w:hAnsi="Calibri" w:cs="Calibri"/>
          <w:lang w:val="en-US"/>
        </w:rPr>
        <w:t xml:space="preserve"> contribui la creșterea nivelului</w:t>
      </w:r>
      <w:r>
        <w:rPr>
          <w:rFonts w:ascii="Calibri" w:hAnsi="Calibri" w:cs="Calibri"/>
          <w:lang w:val="en-US"/>
        </w:rPr>
        <w:t xml:space="preserve"> național</w:t>
      </w:r>
      <w:r w:rsidRPr="00745F08">
        <w:rPr>
          <w:rFonts w:ascii="Calibri" w:hAnsi="Calibri" w:cs="Calibri"/>
          <w:lang w:val="en-US"/>
        </w:rPr>
        <w:t xml:space="preserve"> de competențe</w:t>
      </w:r>
      <w:r>
        <w:rPr>
          <w:rFonts w:ascii="Calibri" w:hAnsi="Calibri" w:cs="Calibri"/>
          <w:lang w:val="en-US"/>
        </w:rPr>
        <w:t xml:space="preserve"> </w:t>
      </w:r>
      <w:r w:rsidRPr="00745F08">
        <w:rPr>
          <w:rFonts w:ascii="Calibri" w:hAnsi="Calibri" w:cs="Calibri"/>
          <w:lang w:val="en-US"/>
        </w:rPr>
        <w:t>digitale.</w:t>
      </w:r>
    </w:p>
    <w:p w14:paraId="3868AC4C" w14:textId="17E1DDBF" w:rsidR="00533847" w:rsidRPr="003733E1" w:rsidRDefault="00662BDD" w:rsidP="00E2143A">
      <w:pPr>
        <w:spacing w:line="240" w:lineRule="auto"/>
        <w:jc w:val="both"/>
        <w:rPr>
          <w:rFonts w:ascii="Calibri" w:hAnsi="Calibri" w:cs="Calibri"/>
          <w:lang w:val="en-US"/>
        </w:rPr>
      </w:pPr>
      <w:r w:rsidRPr="003733E1">
        <w:rPr>
          <w:rFonts w:ascii="Calibri" w:hAnsi="Calibri" w:cs="Calibri"/>
        </w:rPr>
        <w:tab/>
      </w:r>
      <w:r w:rsidR="00533847" w:rsidRPr="003733E1">
        <w:rPr>
          <w:rFonts w:ascii="Calibri" w:hAnsi="Calibri" w:cs="Calibri"/>
        </w:rPr>
        <w:t xml:space="preserve">Valoarea totală a contractului de finanțare este de </w:t>
      </w:r>
      <w:r w:rsidR="008106FC">
        <w:rPr>
          <w:rFonts w:ascii="Calibri" w:hAnsi="Calibri" w:cs="Calibri"/>
          <w:b/>
          <w:bCs/>
        </w:rPr>
        <w:t>3.424.259,09</w:t>
      </w:r>
      <w:r w:rsidR="00533847" w:rsidRPr="003733E1">
        <w:rPr>
          <w:rFonts w:ascii="Calibri" w:hAnsi="Calibri" w:cs="Calibri"/>
          <w:b/>
          <w:bCs/>
        </w:rPr>
        <w:t xml:space="preserve"> lei</w:t>
      </w:r>
      <w:r w:rsidR="00533847" w:rsidRPr="003733E1">
        <w:rPr>
          <w:rFonts w:ascii="Calibri" w:hAnsi="Calibri" w:cs="Calibri"/>
        </w:rPr>
        <w:t xml:space="preserve">, din care valoarea eligibilă din PNRR este în cuantum de </w:t>
      </w:r>
      <w:r w:rsidR="008106FC" w:rsidRPr="0014057A">
        <w:rPr>
          <w:rFonts w:ascii="Calibri" w:hAnsi="Calibri" w:cs="Calibri"/>
          <w:b/>
          <w:bCs/>
        </w:rPr>
        <w:t xml:space="preserve">2.877.258,65 </w:t>
      </w:r>
      <w:r w:rsidR="00533847" w:rsidRPr="0014057A">
        <w:rPr>
          <w:rFonts w:ascii="Calibri" w:hAnsi="Calibri" w:cs="Calibri"/>
          <w:b/>
          <w:bCs/>
        </w:rPr>
        <w:t>lei</w:t>
      </w:r>
      <w:r w:rsidR="00533847" w:rsidRPr="003733E1">
        <w:rPr>
          <w:rFonts w:ascii="Calibri" w:hAnsi="Calibri" w:cs="Calibri"/>
        </w:rPr>
        <w:t xml:space="preserve">, valoarea TVA eligibilă aferentă este de </w:t>
      </w:r>
      <w:r w:rsidR="008106FC" w:rsidRPr="0014057A">
        <w:rPr>
          <w:rFonts w:ascii="Calibri" w:hAnsi="Calibri" w:cs="Calibri"/>
          <w:b/>
          <w:bCs/>
        </w:rPr>
        <w:t>546.730,44</w:t>
      </w:r>
      <w:r w:rsidR="00533847" w:rsidRPr="0014057A">
        <w:rPr>
          <w:rFonts w:ascii="Calibri" w:hAnsi="Calibri" w:cs="Calibri"/>
          <w:b/>
          <w:bCs/>
        </w:rPr>
        <w:t xml:space="preserve"> lei</w:t>
      </w:r>
      <w:r w:rsidR="008106FC">
        <w:rPr>
          <w:rFonts w:ascii="Calibri" w:hAnsi="Calibri" w:cs="Calibri"/>
        </w:rPr>
        <w:t>.</w:t>
      </w:r>
    </w:p>
    <w:p w14:paraId="3F31A09E" w14:textId="1FC905F0" w:rsidR="008F5D78" w:rsidRPr="005A4CBE" w:rsidRDefault="00C157BB" w:rsidP="00DE4DB5">
      <w:pPr>
        <w:ind w:firstLine="720"/>
        <w:rPr>
          <w:b/>
          <w:bCs/>
        </w:rPr>
      </w:pPr>
      <w:r>
        <w:t>Proiectul va fi implementat în pe</w:t>
      </w:r>
      <w:r w:rsidR="000D6AB4" w:rsidRPr="003733E1">
        <w:t xml:space="preserve">rioada </w:t>
      </w:r>
      <w:r w:rsidR="008106FC" w:rsidRPr="005A4CBE">
        <w:rPr>
          <w:b/>
          <w:bCs/>
        </w:rPr>
        <w:t>09.05.2024</w:t>
      </w:r>
      <w:r w:rsidR="00DE4DB5" w:rsidRPr="005A4CBE">
        <w:rPr>
          <w:b/>
          <w:bCs/>
        </w:rPr>
        <w:t>-30.06.202</w:t>
      </w:r>
      <w:r w:rsidR="008106FC" w:rsidRPr="005A4CBE">
        <w:rPr>
          <w:b/>
          <w:bCs/>
        </w:rPr>
        <w:t>6</w:t>
      </w:r>
      <w:r w:rsidR="00DE4DB5" w:rsidRPr="005A4CBE">
        <w:rPr>
          <w:b/>
          <w:bCs/>
        </w:rPr>
        <w:t>.</w:t>
      </w:r>
    </w:p>
    <w:p w14:paraId="064B066F" w14:textId="77777777" w:rsidR="00553E31" w:rsidRDefault="00553E31" w:rsidP="0055231B">
      <w:pPr>
        <w:spacing w:after="0" w:line="240" w:lineRule="auto"/>
        <w:jc w:val="center"/>
      </w:pPr>
    </w:p>
    <w:p w14:paraId="1F25D15E" w14:textId="77777777" w:rsidR="00553E31" w:rsidRDefault="00553E31" w:rsidP="0055231B">
      <w:pPr>
        <w:spacing w:after="0" w:line="240" w:lineRule="auto"/>
        <w:jc w:val="center"/>
      </w:pPr>
    </w:p>
    <w:p w14:paraId="23C138D5" w14:textId="77777777" w:rsidR="0055231B" w:rsidRDefault="0055231B" w:rsidP="0055231B">
      <w:pPr>
        <w:pStyle w:val="Subsol"/>
      </w:pPr>
    </w:p>
    <w:p w14:paraId="022E5B59" w14:textId="1BE95BEF" w:rsidR="008F5D78" w:rsidRDefault="008F5D78" w:rsidP="001D1A58">
      <w:pPr>
        <w:jc w:val="center"/>
      </w:pPr>
    </w:p>
    <w:sectPr w:rsidR="008F5D78" w:rsidSect="00202C38">
      <w:footerReference w:type="default" r:id="rId8"/>
      <w:headerReference w:type="first" r:id="rId9"/>
      <w:footerReference w:type="first" r:id="rId10"/>
      <w:pgSz w:w="12240" w:h="15840"/>
      <w:pgMar w:top="1440" w:right="1183" w:bottom="1440" w:left="993" w:header="8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51D1D" w14:textId="77777777" w:rsidR="00663566" w:rsidRDefault="00663566" w:rsidP="00881207">
      <w:pPr>
        <w:spacing w:after="0" w:line="240" w:lineRule="auto"/>
      </w:pPr>
      <w:r>
        <w:separator/>
      </w:r>
    </w:p>
  </w:endnote>
  <w:endnote w:type="continuationSeparator" w:id="0">
    <w:p w14:paraId="4BB0F1B8" w14:textId="77777777" w:rsidR="00663566" w:rsidRDefault="00663566" w:rsidP="0088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6CA3" w14:textId="77777777" w:rsidR="00881207" w:rsidRDefault="00881207" w:rsidP="00881207">
    <w:pPr>
      <w:jc w:val="center"/>
      <w:rPr>
        <w:rFonts w:ascii="Arial" w:hAnsi="Arial" w:cs="Arial"/>
        <w:color w:val="1F4E79"/>
        <w:sz w:val="24"/>
        <w:szCs w:val="24"/>
      </w:rPr>
    </w:pPr>
    <w:r>
      <w:rPr>
        <w:rFonts w:ascii="Arial" w:hAnsi="Arial" w:cs="Arial"/>
        <w:noProof/>
        <w:color w:val="1F4E79"/>
        <w:sz w:val="24"/>
        <w:szCs w:val="24"/>
      </w:rPr>
      <w:drawing>
        <wp:anchor distT="0" distB="0" distL="114300" distR="114300" simplePos="0" relativeHeight="251659264" behindDoc="0" locked="0" layoutInCell="1" allowOverlap="1" wp14:anchorId="5BEA1B40" wp14:editId="3F244BDA">
          <wp:simplePos x="0" y="0"/>
          <wp:positionH relativeFrom="column">
            <wp:posOffset>2545715</wp:posOffset>
          </wp:positionH>
          <wp:positionV relativeFrom="paragraph">
            <wp:posOffset>56627</wp:posOffset>
          </wp:positionV>
          <wp:extent cx="481965" cy="507810"/>
          <wp:effectExtent l="0" t="0" r="0" b="6985"/>
          <wp:wrapSquare wrapText="right"/>
          <wp:docPr id="236569367" name="Imagine 236569367"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50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3ABF7" w14:textId="77777777" w:rsidR="00881207" w:rsidRDefault="00881207" w:rsidP="00881207">
    <w:pPr>
      <w:jc w:val="center"/>
      <w:rPr>
        <w:rFonts w:ascii="Arial" w:hAnsi="Arial" w:cs="Arial"/>
        <w:color w:val="1F4E79"/>
        <w:sz w:val="24"/>
        <w:szCs w:val="24"/>
      </w:rPr>
    </w:pPr>
  </w:p>
  <w:p w14:paraId="33B8FB39" w14:textId="77777777" w:rsidR="00881207" w:rsidRPr="00B91D66" w:rsidRDefault="00881207" w:rsidP="00881207">
    <w:pPr>
      <w:spacing w:after="0"/>
      <w:jc w:val="center"/>
      <w:rPr>
        <w:rFonts w:ascii="Arial" w:hAnsi="Arial" w:cs="Arial"/>
        <w:color w:val="1F4E79"/>
        <w:sz w:val="16"/>
        <w:szCs w:val="16"/>
      </w:rPr>
    </w:pPr>
    <w:r w:rsidRPr="00B91D66">
      <w:rPr>
        <w:rFonts w:ascii="Arial" w:hAnsi="Arial" w:cs="Arial"/>
        <w:color w:val="1F4E79"/>
        <w:sz w:val="16"/>
        <w:szCs w:val="16"/>
      </w:rPr>
      <w:t>CONSILIUL JUDEȚEAN NEAMȚ</w:t>
    </w:r>
  </w:p>
  <w:p w14:paraId="5A8A810A" w14:textId="77777777" w:rsidR="00881207" w:rsidRPr="00B91D66" w:rsidRDefault="00881207" w:rsidP="00881207">
    <w:pPr>
      <w:spacing w:after="0"/>
      <w:jc w:val="center"/>
      <w:rPr>
        <w:rFonts w:ascii="Arial" w:hAnsi="Arial" w:cs="Arial"/>
        <w:color w:val="1F4E79"/>
        <w:sz w:val="16"/>
        <w:szCs w:val="16"/>
      </w:rPr>
    </w:pPr>
    <w:r w:rsidRPr="00B91D66">
      <w:rPr>
        <w:rFonts w:ascii="Arial" w:hAnsi="Arial" w:cs="Arial"/>
        <w:color w:val="1F4E79"/>
        <w:sz w:val="16"/>
        <w:szCs w:val="16"/>
      </w:rPr>
      <w:t>JUDEȚUL NEAMȚ</w:t>
    </w:r>
  </w:p>
  <w:p w14:paraId="0E85337A" w14:textId="77777777" w:rsidR="00881207" w:rsidRPr="00B103E6" w:rsidRDefault="00881207" w:rsidP="00881207">
    <w:pPr>
      <w:jc w:val="center"/>
      <w:rPr>
        <w:rFonts w:ascii="Arial" w:hAnsi="Arial" w:cs="Arial"/>
        <w:color w:val="1F4E79"/>
        <w:sz w:val="24"/>
        <w:szCs w:val="24"/>
      </w:rPr>
    </w:pPr>
    <w:r w:rsidRPr="00B103E6">
      <w:rPr>
        <w:rFonts w:ascii="Arial" w:hAnsi="Arial" w:cs="Arial"/>
        <w:color w:val="1F4E79"/>
        <w:sz w:val="24"/>
        <w:szCs w:val="24"/>
      </w:rPr>
      <w:t>”PNRR. Finanțat de Uniunea Europeană - UrmătoareaGenerațieUE”</w:t>
    </w:r>
  </w:p>
  <w:p w14:paraId="271496CE" w14:textId="77777777" w:rsidR="00881207" w:rsidRPr="00B103E6" w:rsidRDefault="00000000" w:rsidP="00881207">
    <w:pPr>
      <w:jc w:val="center"/>
      <w:rPr>
        <w:rFonts w:ascii="Arial" w:hAnsi="Arial" w:cs="Arial"/>
        <w:color w:val="1F4E79"/>
        <w:sz w:val="16"/>
        <w:szCs w:val="16"/>
      </w:rPr>
    </w:pPr>
    <w:hyperlink r:id="rId2" w:history="1">
      <w:r w:rsidR="00881207" w:rsidRPr="00B103E6">
        <w:rPr>
          <w:rStyle w:val="Hyperlink"/>
          <w:rFonts w:ascii="Arial" w:hAnsi="Arial" w:cs="Arial"/>
          <w:color w:val="1F4E79"/>
          <w:sz w:val="16"/>
          <w:szCs w:val="16"/>
        </w:rPr>
        <w:t>https://mfe.gov.ro/pnrr/</w:t>
      </w:r>
    </w:hyperlink>
    <w:r w:rsidR="00881207" w:rsidRPr="00B103E6">
      <w:rPr>
        <w:rFonts w:ascii="Arial" w:hAnsi="Arial" w:cs="Arial"/>
        <w:color w:val="1F4E79"/>
        <w:sz w:val="16"/>
        <w:szCs w:val="16"/>
      </w:rPr>
      <w:t xml:space="preserve">             http://www.facebook.com/PNRROficial/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927A" w14:textId="46387E0C" w:rsidR="0055231B" w:rsidRDefault="0055231B" w:rsidP="00881207">
    <w:pPr>
      <w:jc w:val="center"/>
      <w:rPr>
        <w:rFonts w:ascii="Arial" w:hAnsi="Arial" w:cs="Arial"/>
        <w:color w:val="1F4E79"/>
        <w:sz w:val="24"/>
        <w:szCs w:val="24"/>
      </w:rPr>
    </w:pPr>
    <w:r>
      <w:rPr>
        <w:rFonts w:ascii="Arial" w:hAnsi="Arial" w:cs="Arial"/>
        <w:noProof/>
        <w:color w:val="1F4E79"/>
        <w:sz w:val="24"/>
        <w:szCs w:val="24"/>
      </w:rPr>
      <w:drawing>
        <wp:inline distT="0" distB="0" distL="0" distR="0" wp14:anchorId="6A18C540" wp14:editId="1C729489">
          <wp:extent cx="3027045" cy="944880"/>
          <wp:effectExtent l="0" t="0" r="1905" b="7620"/>
          <wp:docPr id="97297563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944880"/>
                  </a:xfrm>
                  <a:prstGeom prst="rect">
                    <a:avLst/>
                  </a:prstGeom>
                  <a:noFill/>
                </pic:spPr>
              </pic:pic>
            </a:graphicData>
          </a:graphic>
        </wp:inline>
      </w:drawing>
    </w:r>
  </w:p>
  <w:p w14:paraId="2CECB2C8" w14:textId="77777777" w:rsidR="0055231B" w:rsidRPr="0055231B" w:rsidRDefault="0055231B" w:rsidP="0055231B">
    <w:pPr>
      <w:spacing w:after="0" w:line="240" w:lineRule="auto"/>
      <w:jc w:val="center"/>
      <w:rPr>
        <w:b/>
        <w:bCs/>
        <w:i/>
        <w:iCs/>
        <w:sz w:val="20"/>
        <w:szCs w:val="20"/>
      </w:rPr>
    </w:pPr>
    <w:r w:rsidRPr="0055231B">
      <w:rPr>
        <w:b/>
        <w:bCs/>
        <w:i/>
        <w:iCs/>
        <w:sz w:val="20"/>
        <w:szCs w:val="20"/>
      </w:rPr>
      <w:t>Conținutul acestui material nu reprezintă în mod obligatoriu poziția oficială a Uniunii Europene sau a Guvernului României.</w:t>
    </w:r>
  </w:p>
  <w:p w14:paraId="0F937C80" w14:textId="77777777" w:rsidR="0055231B" w:rsidRPr="0055231B" w:rsidRDefault="0055231B" w:rsidP="0055231B">
    <w:pPr>
      <w:spacing w:after="0" w:line="240" w:lineRule="auto"/>
      <w:jc w:val="center"/>
      <w:rPr>
        <w:rFonts w:ascii="Arial" w:hAnsi="Arial" w:cs="Arial"/>
        <w:b/>
        <w:bCs/>
        <w:color w:val="1F4E79"/>
        <w:sz w:val="24"/>
        <w:szCs w:val="24"/>
      </w:rPr>
    </w:pPr>
    <w:r w:rsidRPr="0055231B">
      <w:rPr>
        <w:rFonts w:ascii="Arial" w:hAnsi="Arial" w:cs="Arial"/>
        <w:b/>
        <w:bCs/>
        <w:color w:val="1F4E79"/>
        <w:sz w:val="24"/>
        <w:szCs w:val="24"/>
      </w:rPr>
      <w:t>”PNRR. Finanțat de Uniunea Europeană - UrmătoareaGenerațieUE”</w:t>
    </w:r>
  </w:p>
  <w:p w14:paraId="281BE5CF" w14:textId="77777777" w:rsidR="0055231B" w:rsidRDefault="00000000" w:rsidP="0055231B">
    <w:pPr>
      <w:spacing w:after="0" w:line="240" w:lineRule="auto"/>
      <w:jc w:val="center"/>
      <w:rPr>
        <w:rFonts w:ascii="Arial" w:hAnsi="Arial" w:cs="Arial"/>
        <w:color w:val="1F4E79"/>
        <w:sz w:val="16"/>
        <w:szCs w:val="16"/>
      </w:rPr>
    </w:pPr>
    <w:hyperlink r:id="rId2" w:history="1">
      <w:r w:rsidR="0055231B" w:rsidRPr="00B103E6">
        <w:rPr>
          <w:rStyle w:val="Hyperlink"/>
          <w:rFonts w:ascii="Arial" w:hAnsi="Arial" w:cs="Arial"/>
          <w:color w:val="1F4E79"/>
          <w:sz w:val="16"/>
          <w:szCs w:val="16"/>
        </w:rPr>
        <w:t>https://mfe.gov.ro/pnrr/</w:t>
      </w:r>
    </w:hyperlink>
    <w:r w:rsidR="0055231B" w:rsidRPr="00B103E6">
      <w:rPr>
        <w:rFonts w:ascii="Arial" w:hAnsi="Arial" w:cs="Arial"/>
        <w:color w:val="1F4E79"/>
        <w:sz w:val="16"/>
        <w:szCs w:val="16"/>
      </w:rPr>
      <w:t xml:space="preserve">        </w:t>
    </w:r>
  </w:p>
  <w:p w14:paraId="514C0F97" w14:textId="77777777" w:rsidR="0055231B" w:rsidRDefault="00000000" w:rsidP="0055231B">
    <w:pPr>
      <w:spacing w:after="0" w:line="240" w:lineRule="auto"/>
      <w:jc w:val="center"/>
      <w:rPr>
        <w:rFonts w:ascii="Arial" w:hAnsi="Arial" w:cs="Arial"/>
        <w:color w:val="1F4E79"/>
        <w:sz w:val="16"/>
        <w:szCs w:val="16"/>
      </w:rPr>
    </w:pPr>
    <w:hyperlink r:id="rId3" w:history="1">
      <w:r w:rsidR="0055231B" w:rsidRPr="006A7D16">
        <w:rPr>
          <w:rStyle w:val="Hyperlink"/>
          <w:rFonts w:ascii="Arial" w:hAnsi="Arial" w:cs="Arial"/>
          <w:sz w:val="16"/>
          <w:szCs w:val="16"/>
        </w:rPr>
        <w:t>http://www.facebook.com/PNRROficial/</w:t>
      </w:r>
    </w:hyperlink>
  </w:p>
  <w:p w14:paraId="6DFEE214" w14:textId="77777777" w:rsidR="0055231B" w:rsidRPr="00B103E6" w:rsidRDefault="0055231B" w:rsidP="0055231B">
    <w:pPr>
      <w:spacing w:after="0" w:line="240" w:lineRule="auto"/>
      <w:jc w:val="center"/>
      <w:rPr>
        <w:rFonts w:ascii="Arial" w:hAnsi="Arial" w:cs="Arial"/>
        <w:color w:val="1F4E79"/>
        <w:sz w:val="16"/>
        <w:szCs w:val="16"/>
      </w:rPr>
    </w:pPr>
  </w:p>
  <w:p w14:paraId="74AB1ADC" w14:textId="77777777" w:rsidR="0055231B" w:rsidRDefault="0055231B" w:rsidP="00881207">
    <w:pPr>
      <w:jc w:val="center"/>
      <w:rPr>
        <w:rFonts w:ascii="Arial" w:hAnsi="Arial" w:cs="Arial"/>
        <w:color w:val="1F4E79"/>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1AD3E" w14:textId="77777777" w:rsidR="00663566" w:rsidRDefault="00663566" w:rsidP="00881207">
      <w:pPr>
        <w:spacing w:after="0" w:line="240" w:lineRule="auto"/>
      </w:pPr>
      <w:r>
        <w:separator/>
      </w:r>
    </w:p>
  </w:footnote>
  <w:footnote w:type="continuationSeparator" w:id="0">
    <w:p w14:paraId="7EBCE7AA" w14:textId="77777777" w:rsidR="00663566" w:rsidRDefault="00663566" w:rsidP="00881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AC91" w14:textId="628F42EE" w:rsidR="008F5D78" w:rsidRPr="001B70A5" w:rsidRDefault="008F5D78" w:rsidP="00202C38">
    <w:pPr>
      <w:spacing w:after="0" w:line="240" w:lineRule="auto"/>
      <w:ind w:left="3600"/>
      <w:rPr>
        <w:rFonts w:cs="Arial"/>
        <w:b/>
        <w:sz w:val="20"/>
        <w:szCs w:val="20"/>
        <w:shd w:val="clear" w:color="auto" w:fill="FFFFFF"/>
      </w:rPr>
    </w:pPr>
    <w:r w:rsidRPr="001B70A5">
      <w:rPr>
        <w:noProof/>
        <w:sz w:val="20"/>
        <w:szCs w:val="20"/>
        <w:lang w:val="en-US"/>
      </w:rPr>
      <w:drawing>
        <wp:anchor distT="0" distB="0" distL="114300" distR="114300" simplePos="0" relativeHeight="251663360" behindDoc="1" locked="0" layoutInCell="1" allowOverlap="1" wp14:anchorId="64AEAE1E" wp14:editId="0FEF4F05">
          <wp:simplePos x="0" y="0"/>
          <wp:positionH relativeFrom="margin">
            <wp:posOffset>77470</wp:posOffset>
          </wp:positionH>
          <wp:positionV relativeFrom="paragraph">
            <wp:posOffset>-337820</wp:posOffset>
          </wp:positionV>
          <wp:extent cx="6705600" cy="680720"/>
          <wp:effectExtent l="0" t="0" r="0" b="5080"/>
          <wp:wrapTight wrapText="bothSides">
            <wp:wrapPolygon edited="0">
              <wp:start x="0" y="0"/>
              <wp:lineTo x="0" y="21157"/>
              <wp:lineTo x="21539" y="21157"/>
              <wp:lineTo x="21539" y="0"/>
              <wp:lineTo x="0" y="0"/>
            </wp:wrapPolygon>
          </wp:wrapTight>
          <wp:docPr id="899009877" name="Imagine 899009877" descr="https://rowater.ro/wp-content/uploads/2022/09/logotr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owater.ro/wp-content/uploads/2022/09/logotre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0" cy="68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30FF4"/>
    <w:multiLevelType w:val="hybridMultilevel"/>
    <w:tmpl w:val="5F1C2E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233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07"/>
    <w:rsid w:val="00044CD9"/>
    <w:rsid w:val="00083E62"/>
    <w:rsid w:val="000A3315"/>
    <w:rsid w:val="000C12E5"/>
    <w:rsid w:val="000D6AB4"/>
    <w:rsid w:val="000F317D"/>
    <w:rsid w:val="001200DC"/>
    <w:rsid w:val="001252B9"/>
    <w:rsid w:val="0014057A"/>
    <w:rsid w:val="00163E4B"/>
    <w:rsid w:val="00176F92"/>
    <w:rsid w:val="001B29E1"/>
    <w:rsid w:val="001B740A"/>
    <w:rsid w:val="001D1A58"/>
    <w:rsid w:val="001D3141"/>
    <w:rsid w:val="001E2EF3"/>
    <w:rsid w:val="00202C38"/>
    <w:rsid w:val="00260349"/>
    <w:rsid w:val="00281340"/>
    <w:rsid w:val="0029068A"/>
    <w:rsid w:val="002A4092"/>
    <w:rsid w:val="0034375A"/>
    <w:rsid w:val="00346021"/>
    <w:rsid w:val="00353D59"/>
    <w:rsid w:val="003733E1"/>
    <w:rsid w:val="003870B7"/>
    <w:rsid w:val="00387989"/>
    <w:rsid w:val="003C7736"/>
    <w:rsid w:val="00455392"/>
    <w:rsid w:val="004611A3"/>
    <w:rsid w:val="00486892"/>
    <w:rsid w:val="004A4D38"/>
    <w:rsid w:val="004D6019"/>
    <w:rsid w:val="004F0162"/>
    <w:rsid w:val="004F4638"/>
    <w:rsid w:val="00505AC0"/>
    <w:rsid w:val="00533847"/>
    <w:rsid w:val="0055231B"/>
    <w:rsid w:val="00553E31"/>
    <w:rsid w:val="005A4CBE"/>
    <w:rsid w:val="005D472D"/>
    <w:rsid w:val="006465C1"/>
    <w:rsid w:val="0066125B"/>
    <w:rsid w:val="00662BDD"/>
    <w:rsid w:val="00663566"/>
    <w:rsid w:val="006922A0"/>
    <w:rsid w:val="00745F08"/>
    <w:rsid w:val="00773018"/>
    <w:rsid w:val="007829D2"/>
    <w:rsid w:val="007875C8"/>
    <w:rsid w:val="007F5669"/>
    <w:rsid w:val="00801709"/>
    <w:rsid w:val="008106FC"/>
    <w:rsid w:val="00844794"/>
    <w:rsid w:val="00860B9D"/>
    <w:rsid w:val="008735C9"/>
    <w:rsid w:val="00881207"/>
    <w:rsid w:val="008C7854"/>
    <w:rsid w:val="008D7F36"/>
    <w:rsid w:val="008F173E"/>
    <w:rsid w:val="008F5D78"/>
    <w:rsid w:val="00954E49"/>
    <w:rsid w:val="00994495"/>
    <w:rsid w:val="009B36ED"/>
    <w:rsid w:val="009B5B63"/>
    <w:rsid w:val="009C1EF6"/>
    <w:rsid w:val="00A02AAA"/>
    <w:rsid w:val="00A02B7C"/>
    <w:rsid w:val="00A44A10"/>
    <w:rsid w:val="00A55FF7"/>
    <w:rsid w:val="00A657FD"/>
    <w:rsid w:val="00A95103"/>
    <w:rsid w:val="00AA1504"/>
    <w:rsid w:val="00AA1BDB"/>
    <w:rsid w:val="00AC1848"/>
    <w:rsid w:val="00AC6505"/>
    <w:rsid w:val="00AD412E"/>
    <w:rsid w:val="00AF549C"/>
    <w:rsid w:val="00AF654E"/>
    <w:rsid w:val="00B1242C"/>
    <w:rsid w:val="00B60195"/>
    <w:rsid w:val="00B610D7"/>
    <w:rsid w:val="00BE4BA8"/>
    <w:rsid w:val="00BF7703"/>
    <w:rsid w:val="00C157BB"/>
    <w:rsid w:val="00C63BF3"/>
    <w:rsid w:val="00C94415"/>
    <w:rsid w:val="00C97051"/>
    <w:rsid w:val="00CB0A9C"/>
    <w:rsid w:val="00CC7A08"/>
    <w:rsid w:val="00CF2225"/>
    <w:rsid w:val="00D019BC"/>
    <w:rsid w:val="00D12C2C"/>
    <w:rsid w:val="00D31DEE"/>
    <w:rsid w:val="00D357B9"/>
    <w:rsid w:val="00D4069F"/>
    <w:rsid w:val="00D43CF6"/>
    <w:rsid w:val="00D5419C"/>
    <w:rsid w:val="00D7002B"/>
    <w:rsid w:val="00D931E2"/>
    <w:rsid w:val="00DC57D0"/>
    <w:rsid w:val="00DE4DB5"/>
    <w:rsid w:val="00E115D8"/>
    <w:rsid w:val="00E2143A"/>
    <w:rsid w:val="00E46B73"/>
    <w:rsid w:val="00E80921"/>
    <w:rsid w:val="00E9656C"/>
    <w:rsid w:val="00EA0BB9"/>
    <w:rsid w:val="00EB4B3A"/>
    <w:rsid w:val="00ED32E9"/>
    <w:rsid w:val="00EF18EB"/>
    <w:rsid w:val="00F10A1A"/>
    <w:rsid w:val="00F16D89"/>
    <w:rsid w:val="00F46F23"/>
    <w:rsid w:val="00F7160C"/>
    <w:rsid w:val="00F74AFF"/>
    <w:rsid w:val="00F9668F"/>
    <w:rsid w:val="00FA77AC"/>
    <w:rsid w:val="00FA7B2D"/>
    <w:rsid w:val="00FF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8CFF"/>
  <w15:chartTrackingRefBased/>
  <w15:docId w15:val="{F7329EE3-030C-43A9-B4EF-180CD362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8120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81207"/>
    <w:rPr>
      <w:lang w:val="ro-RO"/>
    </w:rPr>
  </w:style>
  <w:style w:type="paragraph" w:styleId="Subsol">
    <w:name w:val="footer"/>
    <w:basedOn w:val="Normal"/>
    <w:link w:val="SubsolCaracter"/>
    <w:uiPriority w:val="99"/>
    <w:unhideWhenUsed/>
    <w:rsid w:val="0088120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81207"/>
    <w:rPr>
      <w:lang w:val="ro-RO"/>
    </w:rPr>
  </w:style>
  <w:style w:type="character" w:styleId="Hyperlink">
    <w:name w:val="Hyperlink"/>
    <w:uiPriority w:val="99"/>
    <w:unhideWhenUsed/>
    <w:rsid w:val="00881207"/>
    <w:rPr>
      <w:color w:val="0563C1"/>
      <w:u w:val="single"/>
    </w:rPr>
  </w:style>
  <w:style w:type="character" w:styleId="MeniuneNerezolvat">
    <w:name w:val="Unresolved Mention"/>
    <w:basedOn w:val="Fontdeparagrafimplicit"/>
    <w:uiPriority w:val="99"/>
    <w:semiHidden/>
    <w:unhideWhenUsed/>
    <w:rsid w:val="0055231B"/>
    <w:rPr>
      <w:color w:val="605E5C"/>
      <w:shd w:val="clear" w:color="auto" w:fill="E1DFDD"/>
    </w:rPr>
  </w:style>
  <w:style w:type="paragraph" w:styleId="Listparagraf">
    <w:name w:val="List Paragraph"/>
    <w:basedOn w:val="Normal"/>
    <w:uiPriority w:val="34"/>
    <w:qFormat/>
    <w:rsid w:val="00AF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mfe.gov.ro/pnrr/"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89BF-25C9-4134-BCD9-0D113AED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3027</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Costin</dc:creator>
  <cp:keywords/>
  <dc:description/>
  <cp:lastModifiedBy>Diana Timofte</cp:lastModifiedBy>
  <cp:revision>3</cp:revision>
  <cp:lastPrinted>2023-08-09T11:36:00Z</cp:lastPrinted>
  <dcterms:created xsi:type="dcterms:W3CDTF">2024-05-21T09:38:00Z</dcterms:created>
  <dcterms:modified xsi:type="dcterms:W3CDTF">2024-07-04T07:05:00Z</dcterms:modified>
</cp:coreProperties>
</file>